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3D" w:rsidRPr="00E6433D" w:rsidRDefault="00E6433D" w:rsidP="00E64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r w:rsidRPr="00E643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Popis projektu</w:t>
      </w:r>
    </w:p>
    <w:p w:rsidR="00E6433D" w:rsidRPr="00E6433D" w:rsidRDefault="00E6433D" w:rsidP="00E64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33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Místní akční plán rozvoje vzdělávání (MAP)</w:t>
      </w:r>
    </w:p>
    <w:bookmarkEnd w:id="0"/>
    <w:p w:rsidR="00E6433D" w:rsidRPr="00E6433D" w:rsidRDefault="00E6433D" w:rsidP="00E64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33D" w:rsidRDefault="00E6433D" w:rsidP="00E64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reg.č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E643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CZ.02.3.68/0.0/0.0/15_005/0000727</w:t>
      </w:r>
    </w:p>
    <w:p w:rsidR="00E6433D" w:rsidRPr="00E6433D" w:rsidRDefault="00E6433D" w:rsidP="00E64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3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43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t>MAP je Místní akční plán vzdělávání, který bude prioritně zaměřen na rozvoj kvalitního a inkluzivního vzdělávání dětí a žáků do 15-ti let. Zahrnuje oblasti včasné péče, předškolního a základního vzdělávání, zájmového a neformálního vzdělávání. Tomuto zaměření odpovídá území realizace i výběr partnerů pro realizaci MAP a zaměření sběru dat.</w:t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Hlavním přínosem realizace místních akčních plánů bude vybudování udržitelného systém komunikace mezi aktéry, kteří ovlivňují vzdělávání v území. Vzniklá partnerství napomáhají zkvalitňování vzdělávání zejména v místních mateřských a základních školách, ale také k řízenému rozvoji dalších služeb na podporu vzdělávání dětí a mládeže.</w:t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Spolupráce a společné vzdělávání vedení škol a zřizovatelů a komunikace mezi aktéry pomůže školám spolupracovat a vzájemně se učit při vypracovávání plánů aktivit rozvoje vzdělávání ve škole.</w:t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MAP stanovuje priority a jednotlivé kroky nutné k dosažení cílů vzdělávací politiky v území na základě potřebnosti, naléhavosti, přínosů a podloženosti reálnými daty a analýzami. Je zpracováván ve spolupráci s partnery v území.</w:t>
      </w:r>
      <w:r w:rsidRPr="00E643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oblasti regionálního školství bude velká část intervencí zajištěna prostřednictvím sběru a vyhodnocení specifických potřeb na regionální a místní úrovni. Tyto potřeby budou zahrnuty ve spolupráci s partnery v území do krajských a místních akčních plánů rozvoje vzdělávání, které budou sloužit pro koordinaci a zacílení výzev v OP VVV (PO 3) a IROP (PO 2) a OP PPR (PO 4) a posílení územní koncentrace investic. Prostřednictvím akčních plánů bude řízena synergie OP VVV, IROP a OP PPR.</w:t>
      </w:r>
    </w:p>
    <w:p w:rsidR="004C67B4" w:rsidRDefault="004C67B4"/>
    <w:sectPr w:rsidR="004C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9"/>
    <w:rsid w:val="004C67B4"/>
    <w:rsid w:val="00E6433D"/>
    <w:rsid w:val="00E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76F2-1443-4BC9-AEE9-5C1043A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4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43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CA8F5A34</Template>
  <TotalTime>1</TotalTime>
  <Pages>1</Pages>
  <Words>244</Words>
  <Characters>1444</Characters>
  <Application>Microsoft Office Word</Application>
  <DocSecurity>0</DocSecurity>
  <Lines>12</Lines>
  <Paragraphs>3</Paragraphs>
  <ScaleCrop>false</ScaleCrop>
  <Company>Mesto Namest nad Oslavou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Rous</dc:creator>
  <cp:keywords/>
  <dc:description/>
  <cp:lastModifiedBy>Vítězslav Rous</cp:lastModifiedBy>
  <cp:revision>2</cp:revision>
  <dcterms:created xsi:type="dcterms:W3CDTF">2017-06-01T08:10:00Z</dcterms:created>
  <dcterms:modified xsi:type="dcterms:W3CDTF">2017-06-01T08:11:00Z</dcterms:modified>
</cp:coreProperties>
</file>